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BB" w:rsidRDefault="00CE18A7" w:rsidP="00FD6B1E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bookmarkStart w:id="0" w:name="_GoBack"/>
      <w:r>
        <w:rPr>
          <w:rFonts w:ascii="Georgia" w:hAnsi="Georgia"/>
          <w:b/>
          <w:color w:val="333333"/>
          <w:sz w:val="20"/>
          <w:szCs w:val="20"/>
        </w:rPr>
        <w:t>January 2</w:t>
      </w:r>
      <w:r w:rsidR="00757EBB">
        <w:rPr>
          <w:rFonts w:ascii="Georgia" w:hAnsi="Georgia"/>
          <w:b/>
          <w:color w:val="333333"/>
          <w:sz w:val="20"/>
          <w:szCs w:val="20"/>
        </w:rPr>
        <w:t>8</w:t>
      </w:r>
      <w:r w:rsidR="000B49A0" w:rsidRPr="004F66EA">
        <w:rPr>
          <w:rFonts w:ascii="Georgia" w:hAnsi="Georgia"/>
          <w:b/>
          <w:color w:val="333333"/>
          <w:sz w:val="20"/>
          <w:szCs w:val="20"/>
        </w:rPr>
        <w:t xml:space="preserve">, 2014 </w:t>
      </w:r>
      <w:r w:rsidR="00A550B3">
        <w:rPr>
          <w:rFonts w:ascii="Georgia" w:hAnsi="Georgia"/>
          <w:b/>
          <w:color w:val="333333"/>
          <w:sz w:val="20"/>
          <w:szCs w:val="20"/>
        </w:rPr>
        <w:t xml:space="preserve"> </w:t>
      </w:r>
      <w:r w:rsidR="009908C6">
        <w:rPr>
          <w:rFonts w:ascii="Georgia" w:hAnsi="Georgia"/>
          <w:b/>
          <w:color w:val="333333"/>
          <w:sz w:val="20"/>
          <w:szCs w:val="20"/>
        </w:rPr>
        <w:t xml:space="preserve">               </w:t>
      </w:r>
      <w:r w:rsidR="00757EBB">
        <w:rPr>
          <w:rFonts w:ascii="Georgia" w:hAnsi="Georgia"/>
          <w:b/>
          <w:color w:val="333333"/>
          <w:sz w:val="20"/>
          <w:szCs w:val="20"/>
        </w:rPr>
        <w:t>Market Recovers – But Consider Earlier Market Tops</w:t>
      </w:r>
    </w:p>
    <w:p w:rsidR="00757EBB" w:rsidRDefault="00757EBB" w:rsidP="00FD6B1E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</w:p>
    <w:p w:rsidR="00757EBB" w:rsidRDefault="00757EBB" w:rsidP="00FD6B1E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r>
        <w:rPr>
          <w:rFonts w:ascii="Georgia" w:hAnsi="Georgia"/>
          <w:b/>
          <w:color w:val="333333"/>
          <w:sz w:val="20"/>
          <w:szCs w:val="20"/>
        </w:rPr>
        <w:t xml:space="preserve">Prices stopped their </w:t>
      </w:r>
      <w:r w:rsidR="006D6746">
        <w:rPr>
          <w:rFonts w:ascii="Georgia" w:hAnsi="Georgia"/>
          <w:b/>
          <w:color w:val="333333"/>
          <w:sz w:val="20"/>
          <w:szCs w:val="20"/>
        </w:rPr>
        <w:t>three-day</w:t>
      </w:r>
      <w:r>
        <w:rPr>
          <w:rFonts w:ascii="Georgia" w:hAnsi="Georgia"/>
          <w:b/>
          <w:color w:val="333333"/>
          <w:sz w:val="20"/>
          <w:szCs w:val="20"/>
        </w:rPr>
        <w:t xml:space="preserve"> drop and -on the eve of President Obama’s Sate of the Union Address- moved up about </w:t>
      </w:r>
      <w:r w:rsidR="006D6746">
        <w:rPr>
          <w:rFonts w:ascii="Georgia" w:hAnsi="Georgia"/>
          <w:b/>
          <w:color w:val="333333"/>
          <w:sz w:val="20"/>
          <w:szCs w:val="20"/>
        </w:rPr>
        <w:t>one-half</w:t>
      </w:r>
      <w:r>
        <w:rPr>
          <w:rFonts w:ascii="Georgia" w:hAnsi="Georgia"/>
          <w:b/>
          <w:color w:val="333333"/>
          <w:sz w:val="20"/>
          <w:szCs w:val="20"/>
        </w:rPr>
        <w:t xml:space="preserve"> percent.  Consider the S&amp;P500 close of 1792.50 today: it stands just 56 points below </w:t>
      </w:r>
      <w:r w:rsidR="006D6746">
        <w:rPr>
          <w:rFonts w:ascii="Georgia" w:hAnsi="Georgia"/>
          <w:b/>
          <w:color w:val="333333"/>
          <w:sz w:val="20"/>
          <w:szCs w:val="20"/>
        </w:rPr>
        <w:t>its previous</w:t>
      </w:r>
      <w:r>
        <w:rPr>
          <w:rFonts w:ascii="Georgia" w:hAnsi="Georgia"/>
          <w:b/>
          <w:color w:val="333333"/>
          <w:sz w:val="20"/>
          <w:szCs w:val="20"/>
        </w:rPr>
        <w:t xml:space="preserve"> highs of 1848, reached on January 14 and earlier on the last trading day of 2013.</w:t>
      </w:r>
    </w:p>
    <w:p w:rsidR="004449A7" w:rsidRDefault="00757EBB" w:rsidP="00FD6B1E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r>
        <w:rPr>
          <w:rFonts w:ascii="Georgia" w:hAnsi="Georgia"/>
          <w:b/>
          <w:color w:val="333333"/>
          <w:sz w:val="20"/>
          <w:szCs w:val="20"/>
        </w:rPr>
        <w:t>Today’s diagram plots the S&amp;P500 closes in the range of 50 days before and 20 days after the bull market tops of 2000 and 2007</w:t>
      </w:r>
      <w:r w:rsidR="004449A7">
        <w:rPr>
          <w:rFonts w:ascii="Georgia" w:hAnsi="Georgia"/>
          <w:b/>
          <w:color w:val="333333"/>
          <w:sz w:val="20"/>
          <w:szCs w:val="20"/>
        </w:rPr>
        <w:t xml:space="preserve"> –in magenta and black.  We superimpose the recent closing prices in red; and the second vertical line shows today’s close, on the eight’s day.</w:t>
      </w:r>
    </w:p>
    <w:p w:rsidR="005E4449" w:rsidRDefault="004449A7" w:rsidP="004449A7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r>
        <w:rPr>
          <w:rFonts w:ascii="Georgia" w:hAnsi="Georgia"/>
          <w:b/>
          <w:color w:val="333333"/>
          <w:sz w:val="20"/>
          <w:szCs w:val="20"/>
        </w:rPr>
        <w:t xml:space="preserve">Though this is just an arbitrary construal, the fact that these recent days </w:t>
      </w:r>
      <w:r w:rsidR="006D6746">
        <w:rPr>
          <w:rFonts w:ascii="Georgia" w:hAnsi="Georgia"/>
          <w:b/>
          <w:color w:val="333333"/>
          <w:sz w:val="20"/>
          <w:szCs w:val="20"/>
        </w:rPr>
        <w:t>parallel the</w:t>
      </w:r>
      <w:r>
        <w:rPr>
          <w:rFonts w:ascii="Georgia" w:hAnsi="Georgia"/>
          <w:b/>
          <w:color w:val="333333"/>
          <w:sz w:val="20"/>
          <w:szCs w:val="20"/>
        </w:rPr>
        <w:t xml:space="preserve"> bull market tops of seven and fourteen years ago deserves attention.</w:t>
      </w:r>
    </w:p>
    <w:p w:rsidR="00C61B21" w:rsidRDefault="00C61B21" w:rsidP="00FD6B1E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</w:p>
    <w:p w:rsidR="00C61B21" w:rsidRDefault="00DD039F" w:rsidP="00FD6B1E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r>
        <w:rPr>
          <w:rFonts w:ascii="Georgia" w:hAnsi="Georgia"/>
          <w:b/>
          <w:color w:val="333333"/>
          <w:sz w:val="20"/>
          <w:szCs w:val="20"/>
        </w:rPr>
        <w:t xml:space="preserve">DJIA             </w:t>
      </w:r>
      <w:r w:rsidR="000A11C2">
        <w:rPr>
          <w:rFonts w:ascii="Georgia" w:hAnsi="Georgia"/>
          <w:b/>
          <w:color w:val="333333"/>
          <w:sz w:val="20"/>
          <w:szCs w:val="20"/>
        </w:rPr>
        <w:t xml:space="preserve">  </w:t>
      </w:r>
      <w:r>
        <w:rPr>
          <w:rFonts w:ascii="Georgia" w:hAnsi="Georgia"/>
          <w:b/>
          <w:color w:val="333333"/>
          <w:sz w:val="20"/>
          <w:szCs w:val="20"/>
        </w:rPr>
        <w:t xml:space="preserve">     </w:t>
      </w:r>
      <w:r w:rsidR="00C61B21">
        <w:rPr>
          <w:rFonts w:ascii="Georgia" w:hAnsi="Georgia"/>
          <w:b/>
          <w:color w:val="333333"/>
          <w:sz w:val="20"/>
          <w:szCs w:val="20"/>
        </w:rPr>
        <w:t xml:space="preserve"> </w:t>
      </w:r>
      <w:r w:rsidR="009B047E">
        <w:rPr>
          <w:rFonts w:ascii="Georgia" w:hAnsi="Georgia"/>
          <w:b/>
          <w:color w:val="333333"/>
          <w:sz w:val="20"/>
          <w:szCs w:val="20"/>
        </w:rPr>
        <w:t xml:space="preserve"> </w:t>
      </w:r>
      <w:r w:rsidR="00464E5A">
        <w:rPr>
          <w:rFonts w:ascii="Georgia" w:hAnsi="Georgia"/>
          <w:b/>
          <w:color w:val="333333"/>
          <w:sz w:val="20"/>
          <w:szCs w:val="20"/>
        </w:rPr>
        <w:t>.</w:t>
      </w:r>
      <w:r w:rsidR="004449A7">
        <w:rPr>
          <w:rFonts w:ascii="Georgia" w:hAnsi="Georgia"/>
          <w:b/>
          <w:color w:val="333333"/>
          <w:sz w:val="20"/>
          <w:szCs w:val="20"/>
        </w:rPr>
        <w:t>57</w:t>
      </w:r>
      <w:r w:rsidR="00C61B21">
        <w:rPr>
          <w:rFonts w:ascii="Georgia" w:hAnsi="Georgia"/>
          <w:b/>
          <w:color w:val="333333"/>
          <w:sz w:val="20"/>
          <w:szCs w:val="20"/>
        </w:rPr>
        <w:t xml:space="preserve"> percent</w:t>
      </w:r>
    </w:p>
    <w:p w:rsidR="00C61B21" w:rsidRDefault="00C61B21" w:rsidP="004F66EA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r>
        <w:rPr>
          <w:rFonts w:ascii="Georgia" w:hAnsi="Georgia"/>
          <w:b/>
          <w:color w:val="333333"/>
          <w:sz w:val="20"/>
          <w:szCs w:val="20"/>
        </w:rPr>
        <w:t xml:space="preserve">NASDAQ           </w:t>
      </w:r>
      <w:r w:rsidR="00C17D23">
        <w:rPr>
          <w:rFonts w:ascii="Georgia" w:hAnsi="Georgia"/>
          <w:b/>
          <w:color w:val="333333"/>
          <w:sz w:val="20"/>
          <w:szCs w:val="20"/>
        </w:rPr>
        <w:t xml:space="preserve"> </w:t>
      </w:r>
      <w:r w:rsidR="004449A7">
        <w:rPr>
          <w:rFonts w:ascii="Georgia" w:hAnsi="Georgia"/>
          <w:b/>
          <w:color w:val="333333"/>
          <w:sz w:val="20"/>
          <w:szCs w:val="20"/>
        </w:rPr>
        <w:t xml:space="preserve"> </w:t>
      </w:r>
      <w:r>
        <w:rPr>
          <w:rFonts w:ascii="Georgia" w:hAnsi="Georgia"/>
          <w:b/>
          <w:color w:val="333333"/>
          <w:sz w:val="20"/>
          <w:szCs w:val="20"/>
        </w:rPr>
        <w:t>.</w:t>
      </w:r>
      <w:r w:rsidR="004449A7">
        <w:rPr>
          <w:rFonts w:ascii="Georgia" w:hAnsi="Georgia"/>
          <w:b/>
          <w:color w:val="333333"/>
          <w:sz w:val="20"/>
          <w:szCs w:val="20"/>
        </w:rPr>
        <w:t>35</w:t>
      </w:r>
      <w:r>
        <w:rPr>
          <w:rFonts w:ascii="Georgia" w:hAnsi="Georgia"/>
          <w:b/>
          <w:color w:val="333333"/>
          <w:sz w:val="20"/>
          <w:szCs w:val="20"/>
        </w:rPr>
        <w:t xml:space="preserve"> percent </w:t>
      </w:r>
    </w:p>
    <w:p w:rsidR="00C61B21" w:rsidRDefault="00C61B21" w:rsidP="004F66EA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  <w:r>
        <w:rPr>
          <w:rFonts w:ascii="Georgia" w:hAnsi="Georgia"/>
          <w:b/>
          <w:color w:val="333333"/>
          <w:sz w:val="20"/>
          <w:szCs w:val="20"/>
        </w:rPr>
        <w:t xml:space="preserve">S&amp;P500       </w:t>
      </w:r>
      <w:r w:rsidR="000A11C2">
        <w:rPr>
          <w:rFonts w:ascii="Georgia" w:hAnsi="Georgia"/>
          <w:b/>
          <w:color w:val="333333"/>
          <w:sz w:val="20"/>
          <w:szCs w:val="20"/>
        </w:rPr>
        <w:t xml:space="preserve">  </w:t>
      </w:r>
      <w:r>
        <w:rPr>
          <w:rFonts w:ascii="Georgia" w:hAnsi="Georgia"/>
          <w:b/>
          <w:color w:val="333333"/>
          <w:sz w:val="20"/>
          <w:szCs w:val="20"/>
        </w:rPr>
        <w:t xml:space="preserve">      .</w:t>
      </w:r>
      <w:r w:rsidR="004449A7">
        <w:rPr>
          <w:rFonts w:ascii="Georgia" w:hAnsi="Georgia"/>
          <w:b/>
          <w:color w:val="333333"/>
          <w:sz w:val="20"/>
          <w:szCs w:val="20"/>
        </w:rPr>
        <w:t>61</w:t>
      </w:r>
      <w:r>
        <w:rPr>
          <w:rFonts w:ascii="Georgia" w:hAnsi="Georgia"/>
          <w:b/>
          <w:color w:val="333333"/>
          <w:sz w:val="20"/>
          <w:szCs w:val="20"/>
        </w:rPr>
        <w:t xml:space="preserve"> percent</w:t>
      </w:r>
    </w:p>
    <w:bookmarkEnd w:id="0"/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</w:p>
    <w:p w:rsidR="004F66EA" w:rsidRP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b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p w:rsidR="004F66EA" w:rsidRDefault="004F66EA" w:rsidP="004F66EA">
      <w:pPr>
        <w:pStyle w:val="NormalWeb"/>
        <w:spacing w:line="285" w:lineRule="atLeast"/>
        <w:jc w:val="both"/>
        <w:rPr>
          <w:rFonts w:ascii="Georgia" w:hAnsi="Georgia"/>
          <w:color w:val="333333"/>
          <w:sz w:val="20"/>
          <w:szCs w:val="20"/>
        </w:rPr>
      </w:pPr>
    </w:p>
    <w:sectPr w:rsidR="004F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A0"/>
    <w:rsid w:val="00073657"/>
    <w:rsid w:val="00081C21"/>
    <w:rsid w:val="000A11C2"/>
    <w:rsid w:val="000B49A0"/>
    <w:rsid w:val="000C532D"/>
    <w:rsid w:val="00123013"/>
    <w:rsid w:val="00142A89"/>
    <w:rsid w:val="00185614"/>
    <w:rsid w:val="001C5CBB"/>
    <w:rsid w:val="001E1D4C"/>
    <w:rsid w:val="00212285"/>
    <w:rsid w:val="00253B48"/>
    <w:rsid w:val="002A4634"/>
    <w:rsid w:val="002C6B3E"/>
    <w:rsid w:val="003070B2"/>
    <w:rsid w:val="0034473D"/>
    <w:rsid w:val="00352D10"/>
    <w:rsid w:val="003E26C2"/>
    <w:rsid w:val="004449A7"/>
    <w:rsid w:val="00460C46"/>
    <w:rsid w:val="00464E5A"/>
    <w:rsid w:val="00472176"/>
    <w:rsid w:val="004C3592"/>
    <w:rsid w:val="004F66EA"/>
    <w:rsid w:val="00556F3E"/>
    <w:rsid w:val="005A0E0D"/>
    <w:rsid w:val="005B5C18"/>
    <w:rsid w:val="005E4449"/>
    <w:rsid w:val="00657837"/>
    <w:rsid w:val="006D48A2"/>
    <w:rsid w:val="006D6746"/>
    <w:rsid w:val="007136B0"/>
    <w:rsid w:val="0072471E"/>
    <w:rsid w:val="00757EBB"/>
    <w:rsid w:val="00815B05"/>
    <w:rsid w:val="00815B3D"/>
    <w:rsid w:val="008810D5"/>
    <w:rsid w:val="008A5DD4"/>
    <w:rsid w:val="009908C6"/>
    <w:rsid w:val="009B047E"/>
    <w:rsid w:val="00A550B3"/>
    <w:rsid w:val="00B9298A"/>
    <w:rsid w:val="00BD1126"/>
    <w:rsid w:val="00C17D23"/>
    <w:rsid w:val="00C61B21"/>
    <w:rsid w:val="00C90C7F"/>
    <w:rsid w:val="00CE18A7"/>
    <w:rsid w:val="00CF24B4"/>
    <w:rsid w:val="00D336C6"/>
    <w:rsid w:val="00DC7B1A"/>
    <w:rsid w:val="00DD039F"/>
    <w:rsid w:val="00E4159F"/>
    <w:rsid w:val="00FA5F1F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2544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</cp:revision>
  <dcterms:created xsi:type="dcterms:W3CDTF">2014-01-28T22:52:00Z</dcterms:created>
  <dcterms:modified xsi:type="dcterms:W3CDTF">2014-01-28T22:53:00Z</dcterms:modified>
</cp:coreProperties>
</file>